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C3" w:rsidRPr="000D0506" w:rsidRDefault="000D0506" w:rsidP="000D0506">
      <w:pPr>
        <w:pStyle w:val="Overskrift1"/>
        <w:rPr>
          <w:b/>
          <w:color w:val="auto"/>
          <w:sz w:val="20"/>
          <w:lang w:val="da-DK"/>
        </w:rPr>
      </w:pPr>
      <w:r w:rsidRPr="000D0506">
        <w:rPr>
          <w:color w:val="auto"/>
          <w:sz w:val="28"/>
          <w:szCs w:val="28"/>
          <w:lang w:val="da-DK"/>
        </w:rPr>
        <w:t>Kvalitetsstandard for Beskyttet beskæftigelse jf. Serviceloven § 103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Oversigt over kvalitetsstandard for beskyttet beskæftigelse jf. serviceloven §103"/>
      </w:tblPr>
      <w:tblGrid>
        <w:gridCol w:w="2766"/>
        <w:gridCol w:w="6130"/>
      </w:tblGrid>
      <w:tr w:rsidR="000D0506" w:rsidRPr="000D0506" w:rsidTr="000D0506">
        <w:trPr>
          <w:trHeight w:val="1554"/>
          <w:tblHeader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1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1</w:t>
            </w:r>
            <w:r w:rsidRPr="000D0506">
              <w:rPr>
                <w:b/>
                <w:w w:val="105"/>
                <w:lang w:val="da-DK"/>
              </w:rPr>
              <w:t>. Hvad er ydelsens lovgrundlag?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7" w:lineRule="auto"/>
              <w:ind w:right="828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Kommunalbestyrelsen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skal</w:t>
            </w:r>
            <w:r w:rsidRPr="000D0506">
              <w:rPr>
                <w:spacing w:val="-2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jf.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Serviceloven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§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103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tilbyde beskyttet</w:t>
            </w:r>
            <w:r w:rsidRPr="000D0506">
              <w:rPr>
                <w:spacing w:val="-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beskæftigelse.</w:t>
            </w:r>
          </w:p>
          <w:p w:rsidR="001272C3" w:rsidRPr="000D0506" w:rsidRDefault="001272C3">
            <w:pPr>
              <w:pStyle w:val="TableParagraph"/>
              <w:spacing w:before="11"/>
              <w:ind w:left="0"/>
              <w:rPr>
                <w:b/>
                <w:sz w:val="21"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line="244" w:lineRule="auto"/>
              <w:ind w:right="365"/>
              <w:rPr>
                <w:lang w:val="da-DK"/>
              </w:rPr>
            </w:pPr>
            <w:proofErr w:type="spellStart"/>
            <w:r w:rsidRPr="000D0506">
              <w:rPr>
                <w:w w:val="105"/>
                <w:lang w:val="da-DK"/>
              </w:rPr>
              <w:t>Vejl</w:t>
            </w:r>
            <w:proofErr w:type="spellEnd"/>
            <w:r w:rsidRPr="000D0506">
              <w:rPr>
                <w:w w:val="105"/>
                <w:lang w:val="da-DK"/>
              </w:rPr>
              <w:t>.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10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15-02-2011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om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særlig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støtte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voksne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(Vejledning nr. 5 til</w:t>
            </w:r>
            <w:r w:rsidRPr="000D0506">
              <w:rPr>
                <w:spacing w:val="-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Serviceloven).</w:t>
            </w:r>
          </w:p>
        </w:tc>
      </w:tr>
      <w:tr w:rsidR="000D0506" w:rsidRPr="000D0506">
        <w:trPr>
          <w:trHeight w:val="1296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3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2. Hvad er formålet med ydelsen?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187"/>
              <w:jc w:val="both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Beskyttet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er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et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tilbud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borgere,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som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grund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 betydelig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nedsat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fysisk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eller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psykisk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funktionsevne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eller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særlige sociale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problemer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ikke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kan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opnå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eller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fastholde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 normale vilkår på</w:t>
            </w:r>
            <w:r w:rsidRPr="000D0506">
              <w:rPr>
                <w:spacing w:val="-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arbejdsmarkedet.</w:t>
            </w:r>
          </w:p>
        </w:tc>
      </w:tr>
      <w:tr w:rsidR="000D0506" w:rsidRPr="000D0506">
        <w:trPr>
          <w:trHeight w:val="3484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2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3. Hvilke aktiviteter indgår i ydelsen?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left="44" w:right="1032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Den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beskyttede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kan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være</w:t>
            </w:r>
            <w:r w:rsidRPr="000D0506">
              <w:rPr>
                <w:spacing w:val="-2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organiserede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 forskellige måder</w:t>
            </w:r>
            <w:r w:rsidRPr="000D0506">
              <w:rPr>
                <w:spacing w:val="-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eksempelvis: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Beskyttet</w:t>
            </w:r>
            <w:r w:rsidRPr="000D0506">
              <w:rPr>
                <w:spacing w:val="-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værksted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4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Udenfor beskyttet</w:t>
            </w:r>
            <w:r w:rsidRPr="000D0506">
              <w:rPr>
                <w:spacing w:val="-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værksted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7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Særligt tilrettelagt beskæftigelses</w:t>
            </w:r>
            <w:r w:rsidRPr="000D0506">
              <w:rPr>
                <w:spacing w:val="-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forløb</w:t>
            </w:r>
          </w:p>
          <w:p w:rsidR="001272C3" w:rsidRPr="000D0506" w:rsidRDefault="001272C3">
            <w:pPr>
              <w:pStyle w:val="TableParagraph"/>
              <w:ind w:left="0"/>
              <w:rPr>
                <w:b/>
                <w:sz w:val="23"/>
                <w:lang w:val="da-DK"/>
              </w:rPr>
            </w:pPr>
          </w:p>
          <w:p w:rsidR="001272C3" w:rsidRPr="000D0506" w:rsidRDefault="000D0506">
            <w:pPr>
              <w:pStyle w:val="TableParagraph"/>
              <w:ind w:left="44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Indholdet kan for eksempel være: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10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Montage-</w:t>
            </w:r>
            <w:r w:rsidRPr="000D0506">
              <w:rPr>
                <w:spacing w:val="-3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</w:t>
            </w:r>
            <w:r w:rsidRPr="000D0506">
              <w:rPr>
                <w:spacing w:val="-3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pakkeopgaver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6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Færdiggørelse</w:t>
            </w:r>
            <w:r w:rsidRPr="000D0506">
              <w:rPr>
                <w:spacing w:val="-3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</w:t>
            </w:r>
            <w:r w:rsidRPr="000D0506">
              <w:rPr>
                <w:spacing w:val="-3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produkter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4" w:line="242" w:lineRule="auto"/>
              <w:ind w:left="720" w:right="1231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Servicefunktioner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med</w:t>
            </w:r>
            <w:r w:rsidRPr="000D0506">
              <w:rPr>
                <w:spacing w:val="-2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pedel-</w:t>
            </w:r>
            <w:r w:rsidRPr="000D0506">
              <w:rPr>
                <w:spacing w:val="-2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</w:t>
            </w:r>
            <w:r w:rsidRPr="000D0506">
              <w:rPr>
                <w:spacing w:val="-2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havearbejde, kantinemedhjælp</w:t>
            </w:r>
          </w:p>
          <w:p w:rsidR="001272C3" w:rsidRPr="000D0506" w:rsidRDefault="000D0506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spacing w:before="8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Rengøring</w:t>
            </w:r>
          </w:p>
        </w:tc>
        <w:bookmarkStart w:id="0" w:name="_GoBack"/>
        <w:bookmarkEnd w:id="0"/>
      </w:tr>
      <w:tr w:rsidR="000D0506" w:rsidRPr="000D0506">
        <w:trPr>
          <w:trHeight w:val="1815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2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4. Hvilke aktiviteter indgår ikke i ydelsen?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363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 må påregnes en egenbetaling på transport udgifter, egenbetalingen</w:t>
            </w:r>
            <w:r w:rsidRPr="000D0506">
              <w:rPr>
                <w:spacing w:val="-2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udregnes</w:t>
            </w:r>
            <w:r w:rsidRPr="000D0506">
              <w:rPr>
                <w:spacing w:val="-2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efter</w:t>
            </w:r>
            <w:r w:rsidRPr="000D0506">
              <w:rPr>
                <w:spacing w:val="-2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indkomst,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afstand</w:t>
            </w:r>
            <w:r w:rsidRPr="000D0506">
              <w:rPr>
                <w:spacing w:val="-2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tilbudssted og</w:t>
            </w:r>
            <w:r w:rsidRPr="000D0506">
              <w:rPr>
                <w:spacing w:val="-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transportudgiften.</w:t>
            </w:r>
          </w:p>
          <w:p w:rsidR="001272C3" w:rsidRPr="000D0506" w:rsidRDefault="000D0506">
            <w:pPr>
              <w:pStyle w:val="TableParagraph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 er altid en egenbetaling for de første 10 km.</w:t>
            </w:r>
          </w:p>
          <w:p w:rsidR="001272C3" w:rsidRPr="000D0506" w:rsidRDefault="001272C3">
            <w:pPr>
              <w:pStyle w:val="TableParagraph"/>
              <w:spacing w:before="1"/>
              <w:ind w:left="0"/>
              <w:rPr>
                <w:b/>
                <w:sz w:val="23"/>
                <w:lang w:val="da-DK"/>
              </w:rPr>
            </w:pPr>
          </w:p>
          <w:p w:rsidR="001272C3" w:rsidRPr="000D0506" w:rsidRDefault="000D0506">
            <w:pPr>
              <w:pStyle w:val="TableParagraph"/>
              <w:ind w:left="44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 ydes støtte til den resterende transport.</w:t>
            </w:r>
          </w:p>
        </w:tc>
      </w:tr>
      <w:tr w:rsidR="000D0506" w:rsidRPr="000D0506">
        <w:trPr>
          <w:trHeight w:val="2596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1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5. Leverandør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983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Lejre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Kommune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samarbejder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med</w:t>
            </w:r>
            <w:r w:rsidRPr="000D0506">
              <w:rPr>
                <w:spacing w:val="-2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andre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kommuner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om beskæftigelsestilbud.</w:t>
            </w:r>
          </w:p>
          <w:p w:rsidR="001272C3" w:rsidRPr="000D0506" w:rsidRDefault="001272C3">
            <w:pPr>
              <w:pStyle w:val="TableParagraph"/>
              <w:spacing w:before="4"/>
              <w:ind w:left="0"/>
              <w:rPr>
                <w:b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line="244" w:lineRule="auto"/>
              <w:ind w:right="267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Lejre Kommune visiterer som udgangspunkt til beskyttet beskæftigelses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med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tæt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beliggenhed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borgerens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bopæl.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Det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er en forudsætning at borgerens behov og indsatsformål imødekommes.</w:t>
            </w:r>
          </w:p>
          <w:p w:rsidR="001272C3" w:rsidRPr="000D0506" w:rsidRDefault="001272C3">
            <w:pPr>
              <w:pStyle w:val="TableParagraph"/>
              <w:spacing w:before="11"/>
              <w:ind w:left="0"/>
              <w:rPr>
                <w:b/>
                <w:lang w:val="da-DK"/>
              </w:rPr>
            </w:pPr>
          </w:p>
          <w:p w:rsidR="001272C3" w:rsidRPr="000D0506" w:rsidRDefault="000D0506">
            <w:pPr>
              <w:pStyle w:val="TableParagraph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Tilbuddet skal fremgå af Tilbudsportalen</w:t>
            </w:r>
            <w:r w:rsidRPr="000D0506">
              <w:rPr>
                <w:w w:val="105"/>
                <w:lang w:val="da-DK"/>
              </w:rPr>
              <w:t>.</w:t>
            </w:r>
          </w:p>
        </w:tc>
      </w:tr>
    </w:tbl>
    <w:p w:rsidR="001272C3" w:rsidRPr="000D0506" w:rsidRDefault="001272C3">
      <w:pPr>
        <w:rPr>
          <w:lang w:val="da-DK"/>
        </w:rPr>
        <w:sectPr w:rsidR="001272C3" w:rsidRPr="000D0506">
          <w:type w:val="continuous"/>
          <w:pgSz w:w="12240" w:h="15840"/>
          <w:pgMar w:top="1500" w:right="1720" w:bottom="280" w:left="1360" w:header="708" w:footer="708" w:gutter="0"/>
          <w:cols w:space="708"/>
        </w:sectPr>
      </w:pPr>
    </w:p>
    <w:p w:rsidR="001272C3" w:rsidRPr="000D0506" w:rsidRDefault="001272C3">
      <w:pPr>
        <w:spacing w:before="6"/>
        <w:rPr>
          <w:b/>
          <w:sz w:val="8"/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Oversigt over kvalitetsstandard for beskyttet beskæftigelse jf. serviceloven §103"/>
      </w:tblPr>
      <w:tblGrid>
        <w:gridCol w:w="2766"/>
        <w:gridCol w:w="6130"/>
      </w:tblGrid>
      <w:tr w:rsidR="000D0506" w:rsidRPr="000D0506" w:rsidTr="000D0506">
        <w:trPr>
          <w:trHeight w:val="5989"/>
          <w:tblHeader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3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6. Hvem kan modtage ydelsen?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7" w:lineRule="auto"/>
              <w:ind w:right="148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Kommunalbestyrelsen skal tilbyde beskyttet beskæftigelse til borgere med begrænsninger i arbejdsevnen, og som ikke er i stand til at opnå eller fastholde beskæftigelse på normale vilkår på arbejdsmarkedet. Målgruppen for bestem</w:t>
            </w:r>
            <w:r w:rsidRPr="000D0506">
              <w:rPr>
                <w:w w:val="105"/>
                <w:lang w:val="da-DK"/>
              </w:rPr>
              <w:t>melsen er borgere med betydelig nedsat fysisk eller psykisk funktionsevne og borgere med særlige sociale problemer, som f.eks. hjemløse, sindslidende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misbrugere,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som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ikke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kan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påtage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sig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et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ordinært arbejde eller deltage i et tilbud om aktivering eller revalidering eller</w:t>
            </w:r>
            <w:r w:rsidRPr="000D0506">
              <w:rPr>
                <w:spacing w:val="-1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opnå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ansættelse</w:t>
            </w:r>
            <w:r w:rsidRPr="000D0506">
              <w:rPr>
                <w:spacing w:val="-1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et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fleksjob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eller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et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job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med</w:t>
            </w:r>
            <w:r w:rsidRPr="000D0506">
              <w:rPr>
                <w:spacing w:val="-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løntilskud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 førtidspensionister.</w:t>
            </w:r>
          </w:p>
          <w:p w:rsidR="001272C3" w:rsidRPr="000D0506" w:rsidRDefault="001272C3">
            <w:pPr>
              <w:pStyle w:val="TableParagraph"/>
              <w:spacing w:before="4"/>
              <w:ind w:left="0"/>
              <w:rPr>
                <w:b/>
                <w:sz w:val="21"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before="1" w:line="244" w:lineRule="auto"/>
              <w:ind w:right="401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Vedrørende aktivering, revalidering, fleksjob og løntilskud henvises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Lov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om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en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aktiv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beskæftigelsesindsats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Lov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om aktiv</w:t>
            </w:r>
            <w:r w:rsidRPr="000D0506">
              <w:rPr>
                <w:spacing w:val="-2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socialpolitik,</w:t>
            </w:r>
            <w:r w:rsidRPr="000D0506">
              <w:rPr>
                <w:spacing w:val="-2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2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hører</w:t>
            </w:r>
            <w:r w:rsidRPr="000D0506">
              <w:rPr>
                <w:spacing w:val="-2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under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Beskæftigelsesministeriets ressort.</w:t>
            </w:r>
          </w:p>
          <w:p w:rsidR="001272C3" w:rsidRPr="000D0506" w:rsidRDefault="001272C3">
            <w:pPr>
              <w:pStyle w:val="TableParagraph"/>
              <w:spacing w:before="4"/>
              <w:ind w:left="0"/>
              <w:rPr>
                <w:b/>
                <w:sz w:val="23"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line="244" w:lineRule="auto"/>
              <w:ind w:right="281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Borgere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beskyttet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har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som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oftest</w:t>
            </w:r>
            <w:r w:rsidRPr="000D0506">
              <w:rPr>
                <w:spacing w:val="-2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pension, kontanthjælp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eller</w:t>
            </w:r>
            <w:r w:rsidRPr="000D0506">
              <w:rPr>
                <w:spacing w:val="-2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starthjælp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som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hovedforsørgelsesgrundlag.</w:t>
            </w:r>
          </w:p>
          <w:p w:rsidR="001272C3" w:rsidRPr="000D0506" w:rsidRDefault="001272C3">
            <w:pPr>
              <w:pStyle w:val="TableParagraph"/>
              <w:spacing w:before="4"/>
              <w:ind w:left="0"/>
              <w:rPr>
                <w:b/>
                <w:sz w:val="23"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line="244" w:lineRule="auto"/>
              <w:ind w:right="331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Kommunalbestyrelsen skal sikre, at der er egnede tilbud om beskyttet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målgrupper,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2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er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nævnt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loven, enten i kommunalt, regionalt eller privat</w:t>
            </w:r>
            <w:r w:rsidRPr="000D0506">
              <w:rPr>
                <w:spacing w:val="-3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regi</w:t>
            </w:r>
            <w:r w:rsidRPr="000D0506">
              <w:rPr>
                <w:w w:val="105"/>
                <w:lang w:val="da-DK"/>
              </w:rPr>
              <w:t>.</w:t>
            </w:r>
          </w:p>
        </w:tc>
      </w:tr>
      <w:tr w:rsidR="000D0506" w:rsidRPr="000D0506">
        <w:trPr>
          <w:trHeight w:val="1051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1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7. Hvordan ansøges om ydelsen?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7" w:lineRule="auto"/>
              <w:ind w:right="374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Rådgiveren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Team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Service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kontaktes,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hvor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efter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vil blive afholdt samtaler og lavet en udredning, hvor voksenudredningsmetoden bliver anvendt som</w:t>
            </w:r>
            <w:r w:rsidRPr="000D0506">
              <w:rPr>
                <w:spacing w:val="-3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redskab.</w:t>
            </w:r>
          </w:p>
        </w:tc>
      </w:tr>
      <w:tr w:rsidR="000D0506" w:rsidRPr="000D0506">
        <w:trPr>
          <w:trHeight w:val="1815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2" w:line="244" w:lineRule="auto"/>
              <w:ind w:left="366" w:right="207" w:hanging="339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8. Ydelsens indhold og omfang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left="44" w:right="143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Den beskyttede beskæftigelse skal have et indhold der understøtter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borgeren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at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opnå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samme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muligheder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at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bruge deres evner på arbejdsmarked og få et indhold i tilværelsen som borgere uden handicap</w:t>
            </w:r>
            <w:r w:rsidRPr="000D0506">
              <w:rPr>
                <w:spacing w:val="-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har.</w:t>
            </w:r>
          </w:p>
          <w:p w:rsidR="001272C3" w:rsidRPr="000D0506" w:rsidRDefault="000D0506">
            <w:pPr>
              <w:pStyle w:val="TableParagraph"/>
              <w:spacing w:before="2" w:line="244" w:lineRule="auto"/>
              <w:ind w:left="44" w:right="545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henvises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punkt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3,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</w:t>
            </w:r>
            <w:r w:rsidRPr="000D0506">
              <w:rPr>
                <w:spacing w:val="-1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hvilke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aktiviteter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kan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indgå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 ydelsen.</w:t>
            </w:r>
          </w:p>
        </w:tc>
      </w:tr>
      <w:tr w:rsidR="000D0506" w:rsidRPr="000D0506">
        <w:trPr>
          <w:trHeight w:val="1555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1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9. Kompetencekrav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495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Beskæftigelse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foregår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på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et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beskyttet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værksted,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skal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være godkendt</w:t>
            </w:r>
            <w:r w:rsidRPr="000D0506">
              <w:rPr>
                <w:spacing w:val="-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</w:t>
            </w:r>
            <w:r w:rsidRPr="000D0506">
              <w:rPr>
                <w:spacing w:val="-1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Socialtilsyn,</w:t>
            </w:r>
            <w:r w:rsidRPr="000D0506">
              <w:rPr>
                <w:spacing w:val="-10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</w:t>
            </w:r>
            <w:r w:rsidRPr="000D0506">
              <w:rPr>
                <w:spacing w:val="-1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fremgå</w:t>
            </w:r>
            <w:r w:rsidRPr="000D0506">
              <w:rPr>
                <w:spacing w:val="-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</w:t>
            </w:r>
            <w:r w:rsidRPr="000D0506">
              <w:rPr>
                <w:spacing w:val="-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Tilbudsportalen.</w:t>
            </w:r>
          </w:p>
          <w:p w:rsidR="001272C3" w:rsidRPr="000D0506" w:rsidRDefault="001272C3">
            <w:pPr>
              <w:pStyle w:val="TableParagraph"/>
              <w:spacing w:before="4"/>
              <w:ind w:left="0"/>
              <w:rPr>
                <w:b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line="244" w:lineRule="auto"/>
              <w:ind w:right="365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Det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vil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være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muligt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specielle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tilfælde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at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oprette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beskyttet beskæftigelse på</w:t>
            </w:r>
            <w:r w:rsidRPr="000D0506">
              <w:rPr>
                <w:spacing w:val="-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virksomheder.</w:t>
            </w:r>
          </w:p>
        </w:tc>
      </w:tr>
      <w:tr w:rsidR="000D0506" w:rsidRPr="000D0506">
        <w:trPr>
          <w:trHeight w:val="519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4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10. Sagsbehandlingsfrist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50" w:lineRule="exact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Sagsbehandlingsfristen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er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20</w:t>
            </w:r>
            <w:r w:rsidRPr="000D0506">
              <w:rPr>
                <w:spacing w:val="-1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uger,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fra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ansøgningstidspunkt.</w:t>
            </w:r>
          </w:p>
        </w:tc>
      </w:tr>
      <w:tr w:rsidR="000D0506" w:rsidRPr="000D0506">
        <w:trPr>
          <w:trHeight w:val="517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11. Opfølgning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9" w:lineRule="exact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 vil ske opfølgning minimum en gang årligt.</w:t>
            </w:r>
          </w:p>
        </w:tc>
      </w:tr>
      <w:tr w:rsidR="000D0506" w:rsidRPr="000D0506">
        <w:trPr>
          <w:trHeight w:val="1037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12. Særlige forhold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262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bliver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ikke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denne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kvalitetsstandard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opstillet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kvalitets-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og effektmål, da disse overgår direkte til sagsbehandlingen ved indførelse</w:t>
            </w:r>
            <w:r w:rsidRPr="000D0506">
              <w:rPr>
                <w:spacing w:val="-2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af</w:t>
            </w:r>
            <w:r w:rsidRPr="000D0506">
              <w:rPr>
                <w:spacing w:val="-2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voksenudredningsmetoden.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</w:t>
            </w:r>
            <w:r w:rsidRPr="000D0506">
              <w:rPr>
                <w:spacing w:val="-2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denne</w:t>
            </w:r>
            <w:r w:rsidRPr="000D0506">
              <w:rPr>
                <w:spacing w:val="-2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metode</w:t>
            </w:r>
            <w:r w:rsidRPr="000D0506">
              <w:rPr>
                <w:spacing w:val="-2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indgår</w:t>
            </w:r>
          </w:p>
          <w:p w:rsidR="001272C3" w:rsidRPr="000D0506" w:rsidRDefault="000D0506">
            <w:pPr>
              <w:pStyle w:val="TableParagraph"/>
              <w:spacing w:line="244" w:lineRule="exact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udarbejdelse af handleplan efter Servicelovens § 141, hvor der</w:t>
            </w:r>
          </w:p>
        </w:tc>
      </w:tr>
    </w:tbl>
    <w:p w:rsidR="001272C3" w:rsidRPr="000D0506" w:rsidRDefault="001272C3">
      <w:pPr>
        <w:spacing w:line="244" w:lineRule="exact"/>
        <w:rPr>
          <w:lang w:val="da-DK"/>
        </w:rPr>
        <w:sectPr w:rsidR="001272C3" w:rsidRPr="000D0506">
          <w:pgSz w:w="12240" w:h="15840"/>
          <w:pgMar w:top="1500" w:right="1720" w:bottom="280" w:left="1360" w:header="708" w:footer="708" w:gutter="0"/>
          <w:cols w:space="708"/>
        </w:sectPr>
      </w:pPr>
    </w:p>
    <w:p w:rsidR="001272C3" w:rsidRPr="000D0506" w:rsidRDefault="001272C3">
      <w:pPr>
        <w:spacing w:before="6"/>
        <w:rPr>
          <w:b/>
          <w:sz w:val="8"/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Oversigt over kvalitetsstandard for beskyttet beskæftigelse jf. serviceloven §103"/>
      </w:tblPr>
      <w:tblGrid>
        <w:gridCol w:w="2766"/>
        <w:gridCol w:w="6130"/>
      </w:tblGrid>
      <w:tr w:rsidR="000D0506" w:rsidRPr="000D0506" w:rsidTr="000D0506">
        <w:trPr>
          <w:trHeight w:val="556"/>
          <w:tblHeader/>
        </w:trPr>
        <w:tc>
          <w:tcPr>
            <w:tcW w:w="2766" w:type="dxa"/>
          </w:tcPr>
          <w:p w:rsidR="001272C3" w:rsidRPr="000D0506" w:rsidRDefault="001272C3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9" w:lineRule="exact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opstilles specifikke og målbare mål.</w:t>
            </w:r>
          </w:p>
        </w:tc>
      </w:tr>
      <w:tr w:rsidR="000D0506" w:rsidRPr="000D0506">
        <w:trPr>
          <w:trHeight w:val="5706"/>
        </w:trPr>
        <w:tc>
          <w:tcPr>
            <w:tcW w:w="2766" w:type="dxa"/>
          </w:tcPr>
          <w:p w:rsidR="001272C3" w:rsidRPr="000D0506" w:rsidRDefault="000D0506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0D0506">
              <w:rPr>
                <w:b/>
                <w:w w:val="105"/>
                <w:lang w:val="da-DK"/>
              </w:rPr>
              <w:t>13. Klagemuligheder</w:t>
            </w:r>
          </w:p>
        </w:tc>
        <w:tc>
          <w:tcPr>
            <w:tcW w:w="6130" w:type="dxa"/>
          </w:tcPr>
          <w:p w:rsidR="001272C3" w:rsidRPr="000D0506" w:rsidRDefault="000D0506">
            <w:pPr>
              <w:pStyle w:val="TableParagraph"/>
              <w:spacing w:line="244" w:lineRule="auto"/>
              <w:ind w:right="225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 kan klages over Lejre Kommunes afgørelse om bevilling. Klagen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sendes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Team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Service,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Center</w:t>
            </w:r>
            <w:r w:rsidRPr="000D0506">
              <w:rPr>
                <w:spacing w:val="-19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</w:t>
            </w:r>
            <w:r w:rsidRPr="000D0506">
              <w:rPr>
                <w:spacing w:val="-1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Job</w:t>
            </w:r>
            <w:r w:rsidRPr="000D0506">
              <w:rPr>
                <w:spacing w:val="-13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&amp;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Social, som vurderer afgørelsen igen. Hvis afgørelsen fastholdes, videresendes klagen til Ankestyrelsen inden 4 uger fra modtagelsen af</w:t>
            </w:r>
            <w:r w:rsidRPr="000D0506">
              <w:rPr>
                <w:spacing w:val="-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klage</w:t>
            </w:r>
            <w:r w:rsidRPr="000D0506">
              <w:rPr>
                <w:w w:val="105"/>
                <w:lang w:val="da-DK"/>
              </w:rPr>
              <w:t>n.</w:t>
            </w:r>
          </w:p>
          <w:p w:rsidR="001272C3" w:rsidRPr="000D0506" w:rsidRDefault="001272C3">
            <w:pPr>
              <w:pStyle w:val="TableParagraph"/>
              <w:spacing w:before="8"/>
              <w:ind w:left="0"/>
              <w:rPr>
                <w:b/>
                <w:lang w:val="da-DK"/>
              </w:rPr>
            </w:pPr>
          </w:p>
          <w:p w:rsidR="001272C3" w:rsidRPr="000D0506" w:rsidRDefault="000D0506">
            <w:pPr>
              <w:pStyle w:val="TableParagraph"/>
              <w:rPr>
                <w:lang w:val="da-DK"/>
              </w:rPr>
            </w:pPr>
            <w:r w:rsidRPr="000D0506">
              <w:rPr>
                <w:w w:val="105"/>
                <w:u w:val="single"/>
                <w:lang w:val="da-DK"/>
              </w:rPr>
              <w:t>Klage over sagsbehandlingen:</w:t>
            </w:r>
          </w:p>
          <w:p w:rsidR="001272C3" w:rsidRPr="000D0506" w:rsidRDefault="000D0506">
            <w:pPr>
              <w:pStyle w:val="TableParagraph"/>
              <w:spacing w:before="8" w:line="244" w:lineRule="auto"/>
              <w:ind w:right="479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Klage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over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kommunens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sagsbehandling,</w:t>
            </w:r>
            <w:r w:rsidRPr="000D0506">
              <w:rPr>
                <w:spacing w:val="-2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personalets</w:t>
            </w:r>
            <w:r w:rsidRPr="000D0506">
              <w:rPr>
                <w:spacing w:val="-27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opførsel eller personalets udførelse af praktiske opgaver kan ske ved henvendelse til</w:t>
            </w:r>
            <w:r w:rsidRPr="000D0506">
              <w:rPr>
                <w:spacing w:val="-8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ledelsen.</w:t>
            </w:r>
          </w:p>
          <w:p w:rsidR="001272C3" w:rsidRPr="000D0506" w:rsidRDefault="001272C3">
            <w:pPr>
              <w:pStyle w:val="TableParagraph"/>
              <w:spacing w:before="10"/>
              <w:ind w:left="0"/>
              <w:rPr>
                <w:b/>
                <w:lang w:val="da-DK"/>
              </w:rPr>
            </w:pPr>
          </w:p>
          <w:p w:rsidR="001272C3" w:rsidRPr="000D0506" w:rsidRDefault="000D0506">
            <w:pPr>
              <w:pStyle w:val="TableParagraph"/>
              <w:rPr>
                <w:lang w:val="da-DK"/>
              </w:rPr>
            </w:pPr>
            <w:r w:rsidRPr="000D0506">
              <w:rPr>
                <w:w w:val="105"/>
                <w:u w:val="single"/>
                <w:lang w:val="da-DK"/>
              </w:rPr>
              <w:t>Borgerrådgiveren</w:t>
            </w:r>
          </w:p>
          <w:p w:rsidR="001272C3" w:rsidRPr="000D0506" w:rsidRDefault="000D0506">
            <w:pPr>
              <w:pStyle w:val="TableParagraph"/>
              <w:spacing w:before="6" w:line="244" w:lineRule="auto"/>
              <w:ind w:right="432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Der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er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endvidere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mulighed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for,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at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borgeren</w:t>
            </w:r>
            <w:r w:rsidRPr="000D0506">
              <w:rPr>
                <w:spacing w:val="-14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kan</w:t>
            </w:r>
            <w:r w:rsidRPr="000D0506">
              <w:rPr>
                <w:spacing w:val="-16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klage</w:t>
            </w:r>
            <w:r w:rsidRPr="000D0506">
              <w:rPr>
                <w:spacing w:val="-12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til</w:t>
            </w:r>
            <w:r w:rsidRPr="000D0506">
              <w:rPr>
                <w:spacing w:val="-15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Lejre Kommunes</w:t>
            </w:r>
            <w:r w:rsidRPr="000D0506">
              <w:rPr>
                <w:spacing w:val="-1"/>
                <w:w w:val="105"/>
                <w:lang w:val="da-DK"/>
              </w:rPr>
              <w:t xml:space="preserve"> </w:t>
            </w:r>
            <w:r w:rsidRPr="000D0506">
              <w:rPr>
                <w:w w:val="105"/>
                <w:lang w:val="da-DK"/>
              </w:rPr>
              <w:t>borgerrådgiver.</w:t>
            </w:r>
          </w:p>
          <w:p w:rsidR="001272C3" w:rsidRPr="000D0506" w:rsidRDefault="000D0506">
            <w:pPr>
              <w:pStyle w:val="TableParagraph"/>
              <w:spacing w:before="3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Borgerrådgiveren har følgende kontaktoplysninger:</w:t>
            </w:r>
          </w:p>
          <w:p w:rsidR="001272C3" w:rsidRPr="000D0506" w:rsidRDefault="001272C3">
            <w:pPr>
              <w:pStyle w:val="TableParagraph"/>
              <w:ind w:left="0"/>
              <w:rPr>
                <w:b/>
                <w:sz w:val="23"/>
                <w:lang w:val="da-DK"/>
              </w:rPr>
            </w:pPr>
          </w:p>
          <w:p w:rsidR="001272C3" w:rsidRPr="000D0506" w:rsidRDefault="000D0506">
            <w:pPr>
              <w:pStyle w:val="TableParagraph"/>
              <w:spacing w:before="1" w:line="247" w:lineRule="auto"/>
              <w:ind w:right="3718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 xml:space="preserve">Lejre Kommune </w:t>
            </w:r>
            <w:r w:rsidRPr="000D0506">
              <w:rPr>
                <w:lang w:val="da-DK"/>
              </w:rPr>
              <w:t xml:space="preserve">Borgerrådgiveren </w:t>
            </w:r>
            <w:r w:rsidRPr="000D0506">
              <w:rPr>
                <w:w w:val="105"/>
                <w:lang w:val="da-DK"/>
              </w:rPr>
              <w:t>Lejrevej 15</w:t>
            </w:r>
          </w:p>
          <w:p w:rsidR="001272C3" w:rsidRPr="000D0506" w:rsidRDefault="000D0506">
            <w:pPr>
              <w:pStyle w:val="TableParagraph"/>
              <w:spacing w:line="251" w:lineRule="exact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4320 Lejre</w:t>
            </w:r>
          </w:p>
          <w:p w:rsidR="001272C3" w:rsidRPr="000D0506" w:rsidRDefault="000D0506">
            <w:pPr>
              <w:pStyle w:val="TableParagraph"/>
              <w:spacing w:before="6"/>
              <w:rPr>
                <w:lang w:val="da-DK"/>
              </w:rPr>
            </w:pPr>
            <w:r w:rsidRPr="000D0506">
              <w:rPr>
                <w:w w:val="105"/>
                <w:lang w:val="da-DK"/>
              </w:rPr>
              <w:t>Telefon 46 46 44 20</w:t>
            </w:r>
          </w:p>
        </w:tc>
      </w:tr>
    </w:tbl>
    <w:p w:rsidR="001272C3" w:rsidRPr="000D0506" w:rsidRDefault="001272C3">
      <w:pPr>
        <w:spacing w:before="4"/>
        <w:rPr>
          <w:b/>
          <w:sz w:val="16"/>
          <w:lang w:val="da-DK"/>
        </w:rPr>
      </w:pPr>
    </w:p>
    <w:p w:rsidR="001272C3" w:rsidRPr="000D0506" w:rsidRDefault="000D0506">
      <w:pPr>
        <w:spacing w:before="68"/>
        <w:ind w:right="462"/>
        <w:jc w:val="right"/>
        <w:rPr>
          <w:lang w:val="da-DK"/>
        </w:rPr>
      </w:pPr>
      <w:r w:rsidRPr="000D0506">
        <w:rPr>
          <w:w w:val="105"/>
          <w:lang w:val="da-DK"/>
        </w:rPr>
        <w:t>Godkendt den 07.03.2016</w:t>
      </w:r>
    </w:p>
    <w:sectPr w:rsidR="001272C3" w:rsidRPr="000D0506">
      <w:pgSz w:w="12240" w:h="15840"/>
      <w:pgMar w:top="1500" w:right="17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42F"/>
    <w:multiLevelType w:val="hybridMultilevel"/>
    <w:tmpl w:val="BE9C1AD6"/>
    <w:lvl w:ilvl="0" w:tplc="C3B464E6">
      <w:numFmt w:val="bullet"/>
      <w:lvlText w:val=""/>
      <w:lvlJc w:val="left"/>
      <w:pPr>
        <w:ind w:left="721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20F6C534">
      <w:numFmt w:val="bullet"/>
      <w:lvlText w:val="•"/>
      <w:lvlJc w:val="left"/>
      <w:pPr>
        <w:ind w:left="1260" w:hanging="339"/>
      </w:pPr>
      <w:rPr>
        <w:rFonts w:hint="default"/>
      </w:rPr>
    </w:lvl>
    <w:lvl w:ilvl="2" w:tplc="E0AA9C86">
      <w:numFmt w:val="bullet"/>
      <w:lvlText w:val="•"/>
      <w:lvlJc w:val="left"/>
      <w:pPr>
        <w:ind w:left="1800" w:hanging="339"/>
      </w:pPr>
      <w:rPr>
        <w:rFonts w:hint="default"/>
      </w:rPr>
    </w:lvl>
    <w:lvl w:ilvl="3" w:tplc="5A90A85A">
      <w:numFmt w:val="bullet"/>
      <w:lvlText w:val="•"/>
      <w:lvlJc w:val="left"/>
      <w:pPr>
        <w:ind w:left="2340" w:hanging="339"/>
      </w:pPr>
      <w:rPr>
        <w:rFonts w:hint="default"/>
      </w:rPr>
    </w:lvl>
    <w:lvl w:ilvl="4" w:tplc="2AF8EC5C">
      <w:numFmt w:val="bullet"/>
      <w:lvlText w:val="•"/>
      <w:lvlJc w:val="left"/>
      <w:pPr>
        <w:ind w:left="2880" w:hanging="339"/>
      </w:pPr>
      <w:rPr>
        <w:rFonts w:hint="default"/>
      </w:rPr>
    </w:lvl>
    <w:lvl w:ilvl="5" w:tplc="1032A784">
      <w:numFmt w:val="bullet"/>
      <w:lvlText w:val="•"/>
      <w:lvlJc w:val="left"/>
      <w:pPr>
        <w:ind w:left="3420" w:hanging="339"/>
      </w:pPr>
      <w:rPr>
        <w:rFonts w:hint="default"/>
      </w:rPr>
    </w:lvl>
    <w:lvl w:ilvl="6" w:tplc="07A45812">
      <w:numFmt w:val="bullet"/>
      <w:lvlText w:val="•"/>
      <w:lvlJc w:val="left"/>
      <w:pPr>
        <w:ind w:left="3960" w:hanging="339"/>
      </w:pPr>
      <w:rPr>
        <w:rFonts w:hint="default"/>
      </w:rPr>
    </w:lvl>
    <w:lvl w:ilvl="7" w:tplc="1CF64CD0">
      <w:numFmt w:val="bullet"/>
      <w:lvlText w:val="•"/>
      <w:lvlJc w:val="left"/>
      <w:pPr>
        <w:ind w:left="4500" w:hanging="339"/>
      </w:pPr>
      <w:rPr>
        <w:rFonts w:hint="default"/>
      </w:rPr>
    </w:lvl>
    <w:lvl w:ilvl="8" w:tplc="2628254E">
      <w:numFmt w:val="bullet"/>
      <w:lvlText w:val="•"/>
      <w:lvlJc w:val="left"/>
      <w:pPr>
        <w:ind w:left="504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3"/>
    <w:rsid w:val="000D0506"/>
    <w:rsid w:val="001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B073-979B-4394-BD21-A4D7B45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"/>
    </w:pPr>
    <w:rPr>
      <w:b/>
      <w:bCs/>
      <w:sz w:val="34"/>
      <w:szCs w:val="3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D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3925</Characters>
  <Application>Microsoft Office Word</Application>
  <DocSecurity>4</DocSecurity>
  <Lines>130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Kvalitetsstandard \247 103, Godkendt d. 07.03.2016)</vt:lpstr>
    </vt:vector>
  </TitlesOfParts>
  <Company>Lejre Kommune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Kvalitetsstandard \247 103, Godkendt d. 07.03.2016)</dc:title>
  <dc:creator>jabi</dc:creator>
  <cp:lastModifiedBy>Helle Andersen</cp:lastModifiedBy>
  <cp:revision>2</cp:revision>
  <dcterms:created xsi:type="dcterms:W3CDTF">2020-09-22T11:20:00Z</dcterms:created>
  <dcterms:modified xsi:type="dcterms:W3CDTF">2020-09-22T11:20:00Z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2020-09-17T00:00:00Z</vt:filetime>
  </property>
  <property fmtid="{D5CDD505-2E9C-101B-9397-08002B2CF9AE}" pid="5" name="OfficeInstanceGUID">
    <vt:lpwstr>{395E45D6-430D-4CAF-9DF0-85F397332ED2}</vt:lpwstr>
  </property>
</Properties>
</file>